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AF" w:rsidRPr="00446251" w:rsidRDefault="00C373AF" w:rsidP="00C373AF">
      <w:pPr>
        <w:jc w:val="right"/>
        <w:rPr>
          <w:rFonts w:ascii="Times New Roman" w:eastAsia="ヒラギノ明朝 Pro W3" w:hAnsi="Times New Roman"/>
          <w:b/>
          <w:sz w:val="20"/>
          <w:szCs w:val="20"/>
          <w:lang w:eastAsia="tr-TR"/>
        </w:rPr>
      </w:pPr>
      <w:r w:rsidRPr="003D5600">
        <w:rPr>
          <w:rFonts w:ascii="Times New Roman" w:hAnsi="Times New Roman"/>
          <w:b/>
          <w:bCs/>
          <w:color w:val="000000"/>
          <w:sz w:val="24"/>
          <w:szCs w:val="24"/>
        </w:rPr>
        <w:t>EK-8 (</w:t>
      </w:r>
      <w:proofErr w:type="gramStart"/>
      <w:r w:rsidRPr="003D5600">
        <w:rPr>
          <w:rFonts w:ascii="Times New Roman" w:hAnsi="Times New Roman"/>
          <w:b/>
          <w:bCs/>
          <w:color w:val="000000"/>
          <w:sz w:val="24"/>
          <w:szCs w:val="24"/>
        </w:rPr>
        <w:t>Değişik:RG</w:t>
      </w:r>
      <w:proofErr w:type="gramEnd"/>
      <w:r w:rsidRPr="003D5600">
        <w:rPr>
          <w:rFonts w:ascii="Times New Roman" w:hAnsi="Times New Roman"/>
          <w:b/>
          <w:bCs/>
          <w:color w:val="000000"/>
          <w:sz w:val="24"/>
          <w:szCs w:val="24"/>
        </w:rPr>
        <w:t>-3/1/2025-32771)</w:t>
      </w:r>
      <w:r>
        <w:rPr>
          <w:rFonts w:ascii="Times New Roman" w:eastAsia="ヒラギノ明朝 Pro W3" w:hAnsi="Times New Roman"/>
          <w:b/>
          <w:sz w:val="20"/>
          <w:szCs w:val="20"/>
          <w:lang w:eastAsia="tr-TR"/>
        </w:rPr>
        <w:t xml:space="preserve"> </w:t>
      </w:r>
    </w:p>
    <w:p w:rsidR="00C373AF" w:rsidRPr="00446251" w:rsidRDefault="00C373AF" w:rsidP="00C373AF">
      <w:pPr>
        <w:shd w:val="clear" w:color="auto" w:fill="FFFFFF"/>
        <w:tabs>
          <w:tab w:val="left" w:pos="566"/>
        </w:tabs>
        <w:spacing w:after="0" w:line="240" w:lineRule="auto"/>
        <w:ind w:firstLine="567"/>
        <w:jc w:val="center"/>
        <w:rPr>
          <w:rFonts w:ascii="Times New Roman" w:eastAsia="ヒラギノ明朝 Pro W3" w:hAnsi="Times New Roman"/>
          <w:b/>
          <w:sz w:val="18"/>
          <w:szCs w:val="18"/>
          <w:lang w:eastAsia="tr-TR"/>
        </w:rPr>
      </w:pPr>
      <w:r w:rsidRPr="00446251">
        <w:rPr>
          <w:rFonts w:ascii="Times New Roman" w:eastAsia="ヒラギノ明朝 Pro W3" w:hAnsi="Times New Roman"/>
          <w:b/>
          <w:sz w:val="18"/>
          <w:szCs w:val="18"/>
          <w:lang w:eastAsia="tr-TR"/>
        </w:rPr>
        <w:t>ÖZEL ÖĞRETİM KURUMLARINDA ÜCRETSİZ OKUYACAK ÖĞRENCİ VE KURSİYER BAŞVURULARI DEĞERLENDİRME FORMU</w:t>
      </w:r>
    </w:p>
    <w:p w:rsidR="00C373AF" w:rsidRPr="00446251" w:rsidRDefault="00C373AF" w:rsidP="00C373AF">
      <w:pPr>
        <w:shd w:val="clear" w:color="auto" w:fill="FFFFFF"/>
        <w:tabs>
          <w:tab w:val="left" w:pos="566"/>
        </w:tabs>
        <w:spacing w:after="0" w:line="240" w:lineRule="auto"/>
        <w:ind w:firstLine="567"/>
        <w:jc w:val="center"/>
        <w:rPr>
          <w:rFonts w:ascii="Times New Roman" w:eastAsia="ヒラギノ明朝 Pro W3" w:hAnsi="Times New Roman"/>
          <w:b/>
          <w:color w:val="0070C0"/>
          <w:sz w:val="18"/>
          <w:szCs w:val="18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6536"/>
        <w:gridCol w:w="1378"/>
        <w:gridCol w:w="707"/>
      </w:tblGrid>
      <w:tr w:rsidR="00C373AF" w:rsidRPr="00446251" w:rsidTr="007021EF">
        <w:trPr>
          <w:trHeight w:val="463"/>
        </w:trPr>
        <w:tc>
          <w:tcPr>
            <w:tcW w:w="256" w:type="pct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567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567"/>
              <w:jc w:val="center"/>
              <w:rPr>
                <w:rFonts w:ascii="Times New Roman" w:eastAsia="ヒラギノ明朝 Pro W3" w:hAnsi="Times New Roman"/>
                <w:b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  <w:t>DEĞERLENDİRME ÖLÇÜTLERİ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PUAN</w:t>
            </w:r>
          </w:p>
        </w:tc>
      </w:tr>
      <w:tr w:rsidR="00C373AF" w:rsidRPr="00446251" w:rsidTr="007021EF">
        <w:trPr>
          <w:trHeight w:val="569"/>
        </w:trPr>
        <w:tc>
          <w:tcPr>
            <w:tcW w:w="256" w:type="pct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  <w:t>ÖĞRENCİNİN BİR YIL ÖNCEKİ YILSONU BAŞARI PUANI</w:t>
            </w: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6"/>
                <w:szCs w:val="16"/>
                <w:lang w:eastAsia="tr-TR"/>
              </w:rPr>
              <w:t>(Ortaokul ve ortaöğretim okulları için)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567"/>
              <w:jc w:val="center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</w:p>
        </w:tc>
      </w:tr>
      <w:tr w:rsidR="00C373AF" w:rsidRPr="00446251" w:rsidTr="007021EF">
        <w:trPr>
          <w:trHeight w:val="426"/>
        </w:trPr>
        <w:tc>
          <w:tcPr>
            <w:tcW w:w="256" w:type="pct"/>
            <w:vMerge w:val="restart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744" w:type="pct"/>
            <w:gridSpan w:val="3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b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  <w:t>ANNE – BABA DURUMU</w:t>
            </w:r>
          </w:p>
        </w:tc>
      </w:tr>
      <w:tr w:rsidR="00C373AF" w:rsidRPr="00446251" w:rsidTr="007021EF">
        <w:trPr>
          <w:trHeight w:val="240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a) Anne</w:t>
            </w:r>
            <w:r w:rsidRPr="0044625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tr-TR"/>
              </w:rPr>
              <w:t xml:space="preserve"> </w:t>
            </w:r>
            <w:r w:rsidRPr="0044625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ve</w:t>
            </w:r>
            <w:r w:rsidRPr="00446251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tr-TR"/>
              </w:rPr>
              <w:t xml:space="preserve"> </w:t>
            </w:r>
            <w:r w:rsidRPr="0044625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babası </w:t>
            </w:r>
            <w:r w:rsidRPr="00446251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tr-TR"/>
              </w:rPr>
              <w:t>vefat eden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+ 15</w:t>
            </w:r>
          </w:p>
        </w:tc>
      </w:tr>
      <w:tr w:rsidR="00C373AF" w:rsidRPr="00446251" w:rsidTr="007021EF">
        <w:trPr>
          <w:trHeight w:val="240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b) Anne</w:t>
            </w:r>
            <w:r w:rsidRPr="00446251">
              <w:rPr>
                <w:rFonts w:ascii="Times New Roman" w:eastAsia="Times New Roman" w:hAnsi="Times New Roman"/>
                <w:spacing w:val="-3"/>
                <w:sz w:val="16"/>
                <w:szCs w:val="16"/>
                <w:lang w:eastAsia="tr-TR"/>
              </w:rPr>
              <w:t xml:space="preserve"> </w:t>
            </w:r>
            <w:r w:rsidRPr="0044625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veya</w:t>
            </w:r>
            <w:r w:rsidRPr="00446251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tr-TR"/>
              </w:rPr>
              <w:t xml:space="preserve"> </w:t>
            </w:r>
            <w:r w:rsidRPr="0044625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babası</w:t>
            </w:r>
            <w:r w:rsidRPr="00446251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tr-TR"/>
              </w:rPr>
              <w:t xml:space="preserve"> vefat eden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+ 10</w:t>
            </w:r>
          </w:p>
        </w:tc>
      </w:tr>
      <w:tr w:rsidR="00C373AF" w:rsidRPr="00446251" w:rsidTr="007021EF">
        <w:trPr>
          <w:trHeight w:val="218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c) Anne</w:t>
            </w:r>
            <w:r w:rsidRPr="00446251">
              <w:rPr>
                <w:rFonts w:ascii="Times New Roman" w:eastAsia="Times New Roman" w:hAnsi="Times New Roman"/>
                <w:spacing w:val="-2"/>
                <w:sz w:val="16"/>
                <w:szCs w:val="16"/>
                <w:lang w:eastAsia="tr-TR"/>
              </w:rPr>
              <w:t xml:space="preserve"> </w:t>
            </w:r>
            <w:r w:rsidRPr="0044625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ve</w:t>
            </w:r>
            <w:r w:rsidRPr="00446251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tr-TR"/>
              </w:rPr>
              <w:t xml:space="preserve"> </w:t>
            </w:r>
            <w:r w:rsidRPr="0044625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baba ayrı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+ 5</w:t>
            </w:r>
          </w:p>
        </w:tc>
      </w:tr>
      <w:tr w:rsidR="00C373AF" w:rsidRPr="00446251" w:rsidTr="007021EF">
        <w:trPr>
          <w:trHeight w:val="429"/>
        </w:trPr>
        <w:tc>
          <w:tcPr>
            <w:tcW w:w="256" w:type="pct"/>
            <w:vMerge w:val="restart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744" w:type="pct"/>
            <w:gridSpan w:val="3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  <w:t>RAPORA BAĞLI ENGEL DURUMU</w:t>
            </w: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(</w:t>
            </w:r>
            <w:r w:rsidRPr="00446251">
              <w:rPr>
                <w:rFonts w:ascii="Times New Roman" w:eastAsia="ヒラギノ明朝 Pro W3" w:hAnsi="Times New Roman"/>
                <w:sz w:val="16"/>
                <w:szCs w:val="18"/>
                <w:lang w:eastAsia="tr-TR"/>
              </w:rPr>
              <w:t>Ailedeki engelli birey sayısı dikkate alınacaktır.)</w:t>
            </w:r>
            <w:r w:rsidRPr="00446251">
              <w:rPr>
                <w:rFonts w:ascii="Times New Roman" w:eastAsia="ヒラギノ明朝 Pro W3" w:hAnsi="Times New Roman"/>
                <w:b/>
                <w:sz w:val="16"/>
                <w:szCs w:val="18"/>
                <w:lang w:eastAsia="tr-TR"/>
              </w:rPr>
              <w:t xml:space="preserve"> </w:t>
            </w:r>
          </w:p>
        </w:tc>
      </w:tr>
      <w:tr w:rsidR="00C373AF" w:rsidRPr="00446251" w:rsidTr="007021EF">
        <w:trPr>
          <w:trHeight w:val="69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6"/>
                <w:szCs w:val="16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6"/>
                <w:szCs w:val="16"/>
                <w:lang w:eastAsia="tr-TR"/>
              </w:rPr>
              <w:t>Anne, baba, kardeş veya öğrenci / kursiyerin  %40 ve üzeri oranında engelli olması (üniversite hastaneleri, eğitim ve araştırma hastaneleri veya tam teşekküllü devlet hastanelerinden alınan raporla beyan edilmesi durumunda)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+ 5</w:t>
            </w:r>
          </w:p>
        </w:tc>
      </w:tr>
      <w:tr w:rsidR="00C373AF" w:rsidRPr="00446251" w:rsidTr="007021EF">
        <w:trPr>
          <w:trHeight w:val="382"/>
        </w:trPr>
        <w:tc>
          <w:tcPr>
            <w:tcW w:w="256" w:type="pct"/>
            <w:vMerge w:val="restart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744" w:type="pct"/>
            <w:gridSpan w:val="3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  <w:t>AİLENİN AYLIK TOPLAM GELİRİ</w:t>
            </w:r>
          </w:p>
        </w:tc>
      </w:tr>
      <w:tr w:rsidR="00C373AF" w:rsidRPr="00446251" w:rsidTr="007021EF">
        <w:trPr>
          <w:trHeight w:val="218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a) Asgari ücretten az ise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+ 50</w:t>
            </w:r>
          </w:p>
        </w:tc>
      </w:tr>
      <w:tr w:rsidR="00C373AF" w:rsidRPr="00446251" w:rsidTr="007021EF">
        <w:trPr>
          <w:trHeight w:val="240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b) Asgari ücret ve asgari ücretin </w:t>
            </w:r>
            <w:proofErr w:type="gramStart"/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1.5</w:t>
            </w:r>
            <w:proofErr w:type="gramEnd"/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katı arasında ise 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+ 40</w:t>
            </w:r>
          </w:p>
        </w:tc>
      </w:tr>
      <w:tr w:rsidR="00C373AF" w:rsidRPr="00446251" w:rsidTr="007021EF">
        <w:trPr>
          <w:trHeight w:val="240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c) Asgari ücretin </w:t>
            </w:r>
            <w:proofErr w:type="gramStart"/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1.5</w:t>
            </w:r>
            <w:proofErr w:type="gramEnd"/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katından fazla ve asgari ücretin 2 katından az ise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+ 30</w:t>
            </w:r>
          </w:p>
        </w:tc>
      </w:tr>
      <w:tr w:rsidR="00C373AF" w:rsidRPr="00446251" w:rsidTr="007021EF">
        <w:trPr>
          <w:trHeight w:val="218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ç) Asgari ücretin 2 katından fazla ve asgari ücretin </w:t>
            </w:r>
            <w:proofErr w:type="gramStart"/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2.5</w:t>
            </w:r>
            <w:proofErr w:type="gramEnd"/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katından az ise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+ 20</w:t>
            </w:r>
          </w:p>
        </w:tc>
      </w:tr>
      <w:tr w:rsidR="00C373AF" w:rsidRPr="00446251" w:rsidTr="007021EF">
        <w:trPr>
          <w:trHeight w:val="240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d) Asgari ücretin </w:t>
            </w:r>
            <w:proofErr w:type="gramStart"/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2.5</w:t>
            </w:r>
            <w:proofErr w:type="gramEnd"/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katından fazla ve asgari ücretin 3 katından az ise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+ 10</w:t>
            </w:r>
          </w:p>
        </w:tc>
      </w:tr>
      <w:tr w:rsidR="00C373AF" w:rsidRPr="00446251" w:rsidTr="007021EF">
        <w:trPr>
          <w:trHeight w:val="218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e) Asgari ücretin 3 katından fazla ve asgari ücretin </w:t>
            </w:r>
            <w:proofErr w:type="gramStart"/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3.5</w:t>
            </w:r>
            <w:proofErr w:type="gramEnd"/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katından az ise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- 10</w:t>
            </w:r>
          </w:p>
        </w:tc>
      </w:tr>
      <w:tr w:rsidR="00C373AF" w:rsidRPr="00446251" w:rsidTr="007021EF">
        <w:trPr>
          <w:trHeight w:val="240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f) Asgari ücretin </w:t>
            </w:r>
            <w:proofErr w:type="gramStart"/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3.5</w:t>
            </w:r>
            <w:proofErr w:type="gramEnd"/>
            <w:r w:rsidRPr="0044625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 katından fazla ise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- 20</w:t>
            </w:r>
          </w:p>
        </w:tc>
      </w:tr>
      <w:tr w:rsidR="00C373AF" w:rsidRPr="00446251" w:rsidTr="007021EF">
        <w:trPr>
          <w:trHeight w:val="240"/>
        </w:trPr>
        <w:tc>
          <w:tcPr>
            <w:tcW w:w="256" w:type="pct"/>
            <w:vMerge w:val="restart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744" w:type="pct"/>
            <w:gridSpan w:val="3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  <w:t>AİLEDE ÖĞRENİM GÖREN BAŞKA ÖĞRENCİ SAYISI VE AİLENİN EV DURUMU</w:t>
            </w:r>
          </w:p>
        </w:tc>
      </w:tr>
      <w:tr w:rsidR="00C373AF" w:rsidRPr="00446251" w:rsidTr="007021EF">
        <w:trPr>
          <w:trHeight w:val="218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6"/>
                <w:szCs w:val="16"/>
                <w:lang w:eastAsia="tr-TR"/>
              </w:rPr>
              <w:t>a) Okul öncesi eğitim, ilkokul ve ortaokul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+ 10</w:t>
            </w:r>
          </w:p>
        </w:tc>
      </w:tr>
      <w:tr w:rsidR="00C373AF" w:rsidRPr="00446251" w:rsidTr="007021EF">
        <w:trPr>
          <w:trHeight w:val="240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6"/>
                <w:szCs w:val="16"/>
                <w:lang w:eastAsia="tr-TR"/>
              </w:rPr>
              <w:t xml:space="preserve">b) </w:t>
            </w:r>
            <w:proofErr w:type="gramStart"/>
            <w:r w:rsidRPr="00446251">
              <w:rPr>
                <w:rFonts w:ascii="Times New Roman" w:eastAsia="ヒラギノ明朝 Pro W3" w:hAnsi="Times New Roman"/>
                <w:sz w:val="16"/>
                <w:szCs w:val="16"/>
                <w:lang w:eastAsia="tr-TR"/>
              </w:rPr>
              <w:t>Ortaöğretim okulu</w:t>
            </w:r>
            <w:proofErr w:type="gramEnd"/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+ 15</w:t>
            </w:r>
          </w:p>
        </w:tc>
      </w:tr>
      <w:tr w:rsidR="00C373AF" w:rsidRPr="00446251" w:rsidTr="007021EF">
        <w:trPr>
          <w:trHeight w:val="218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6"/>
                <w:szCs w:val="16"/>
                <w:lang w:eastAsia="tr-TR"/>
              </w:rPr>
              <w:t>c) Üniversite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+ 25</w:t>
            </w:r>
          </w:p>
        </w:tc>
      </w:tr>
      <w:tr w:rsidR="00C373AF" w:rsidRPr="00446251" w:rsidTr="007021EF">
        <w:trPr>
          <w:trHeight w:val="240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 xml:space="preserve">ç) Okul değerlendirme puanı 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+ 20</w:t>
            </w:r>
          </w:p>
        </w:tc>
      </w:tr>
      <w:tr w:rsidR="00C373AF" w:rsidRPr="00446251" w:rsidTr="007021EF">
        <w:trPr>
          <w:trHeight w:val="240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4392" w:type="pct"/>
            <w:gridSpan w:val="2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d) Ailenin yaşadığı ev için kira ödüyor olması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+50</w:t>
            </w:r>
          </w:p>
        </w:tc>
      </w:tr>
      <w:tr w:rsidR="00C373AF" w:rsidRPr="00446251" w:rsidTr="007021EF">
        <w:trPr>
          <w:trHeight w:val="831"/>
        </w:trPr>
        <w:tc>
          <w:tcPr>
            <w:tcW w:w="256" w:type="pct"/>
            <w:vMerge w:val="restart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744" w:type="pct"/>
            <w:gridSpan w:val="3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  <w:t>GENÇLİK VE SPOR BAKANLIĞINCA BELİRLENEN KRİTERLER DÂHİLİNDE OLİMPİK VEYA PARALİMPİK BRANŞLARDA ULUSAL VE ULUSLARARASI YARIŞMALARDA BAŞARI ELDE ETTİĞİ GENÇLİK VE SPOR BAKANLIĞINCA BELGELENDİRİLEN SPORCULAR</w:t>
            </w:r>
          </w:p>
        </w:tc>
      </w:tr>
      <w:tr w:rsidR="00C373AF" w:rsidRPr="00446251" w:rsidTr="007021EF">
        <w:trPr>
          <w:trHeight w:val="202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19" w:type="pct"/>
            <w:vMerge w:val="restar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a) Ulusal Spor Faaliyetlerde Dereceye Girenler</w:t>
            </w: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Altın Madalya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+ 20</w:t>
            </w:r>
          </w:p>
        </w:tc>
      </w:tr>
      <w:tr w:rsidR="00C373AF" w:rsidRPr="00446251" w:rsidTr="007021EF">
        <w:trPr>
          <w:trHeight w:val="222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19" w:type="pct"/>
            <w:vMerge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Gümüş Madalya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+ 15</w:t>
            </w:r>
          </w:p>
        </w:tc>
      </w:tr>
      <w:tr w:rsidR="00C373AF" w:rsidRPr="00446251" w:rsidTr="007021EF">
        <w:trPr>
          <w:trHeight w:val="96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19" w:type="pct"/>
            <w:vMerge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Bronz Madalya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+ 10</w:t>
            </w:r>
          </w:p>
        </w:tc>
      </w:tr>
      <w:tr w:rsidR="00C373AF" w:rsidRPr="00446251" w:rsidTr="007021EF">
        <w:trPr>
          <w:trHeight w:val="169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6"/>
                <w:lang w:eastAsia="tr-TR"/>
              </w:rPr>
            </w:pPr>
          </w:p>
        </w:tc>
        <w:tc>
          <w:tcPr>
            <w:tcW w:w="3619" w:type="pct"/>
            <w:vMerge w:val="restar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6"/>
                <w:lang w:eastAsia="tr-TR"/>
              </w:rPr>
              <w:t>b) Avrupa Gençlik Olimpik Festivali (EYOF) ile Dünya Gençlik Olimpiyatlarında Dereceye Girenler</w:t>
            </w: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Altın Madalya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+ 30</w:t>
            </w:r>
          </w:p>
        </w:tc>
      </w:tr>
      <w:tr w:rsidR="00C373AF" w:rsidRPr="00446251" w:rsidTr="007021EF">
        <w:trPr>
          <w:trHeight w:val="169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19" w:type="pct"/>
            <w:vMerge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Gümüş Madalya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+ 20</w:t>
            </w:r>
          </w:p>
        </w:tc>
      </w:tr>
      <w:tr w:rsidR="00C373AF" w:rsidRPr="00446251" w:rsidTr="007021EF">
        <w:trPr>
          <w:trHeight w:val="169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19" w:type="pct"/>
            <w:vMerge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Bronz Madalya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+ 15</w:t>
            </w:r>
          </w:p>
        </w:tc>
      </w:tr>
      <w:tr w:rsidR="00C373AF" w:rsidRPr="00446251" w:rsidTr="007021EF">
        <w:trPr>
          <w:trHeight w:val="169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6"/>
                <w:lang w:eastAsia="tr-TR"/>
              </w:rPr>
            </w:pPr>
          </w:p>
        </w:tc>
        <w:tc>
          <w:tcPr>
            <w:tcW w:w="3619" w:type="pct"/>
            <w:vMerge w:val="restar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6"/>
                <w:lang w:eastAsia="tr-TR"/>
              </w:rPr>
              <w:t>c) Dünya ve Avrupa Şampiyonalarında Dereceye Girenler</w:t>
            </w: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Altın Madalya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+ 50</w:t>
            </w:r>
          </w:p>
        </w:tc>
      </w:tr>
      <w:tr w:rsidR="00C373AF" w:rsidRPr="00446251" w:rsidTr="007021EF">
        <w:trPr>
          <w:trHeight w:val="169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19" w:type="pct"/>
            <w:vMerge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Gümüş Madalya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+ 40</w:t>
            </w:r>
          </w:p>
        </w:tc>
      </w:tr>
      <w:tr w:rsidR="00C373AF" w:rsidRPr="00446251" w:rsidTr="007021EF">
        <w:trPr>
          <w:trHeight w:val="169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3619" w:type="pct"/>
            <w:vMerge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Bronz Madalya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+ 30</w:t>
            </w:r>
          </w:p>
        </w:tc>
      </w:tr>
      <w:tr w:rsidR="00C373AF" w:rsidRPr="00446251" w:rsidTr="007021EF">
        <w:trPr>
          <w:trHeight w:val="859"/>
        </w:trPr>
        <w:tc>
          <w:tcPr>
            <w:tcW w:w="256" w:type="pct"/>
            <w:vMerge w:val="restart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</w:p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744" w:type="pct"/>
            <w:gridSpan w:val="3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b/>
                <w:sz w:val="18"/>
                <w:szCs w:val="18"/>
                <w:lang w:eastAsia="tr-TR"/>
              </w:rPr>
              <w:t>TÜRKİYE BİLİMSEL VE TEKNOLOJİK ARAŞTIRMA KURUMU (TÜBİTAK) ARACILIĞIYLA ULUSLARARASI BİLİM OLİMPİYATLARI, ULUSAL BİLİM OLİMPİYATLARI VE ULUSAL PROJE YARIŞMALARINA KATILARAK DERECE ELDE EDEN ÖĞRENCİLER</w:t>
            </w:r>
          </w:p>
        </w:tc>
      </w:tr>
      <w:tr w:rsidR="00C373AF" w:rsidRPr="00446251" w:rsidTr="007021EF">
        <w:trPr>
          <w:trHeight w:val="23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</w:p>
        </w:tc>
        <w:tc>
          <w:tcPr>
            <w:tcW w:w="3619" w:type="pct"/>
            <w:vMerge w:val="restar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  <w:t>a) Uluslararası Bilim Olimpiyatlarında Dereceye Girenler</w:t>
            </w: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  <w:t>Altın Madalya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+ 50</w:t>
            </w:r>
          </w:p>
        </w:tc>
      </w:tr>
      <w:tr w:rsidR="00C373AF" w:rsidRPr="00446251" w:rsidTr="007021EF">
        <w:trPr>
          <w:trHeight w:val="23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</w:p>
        </w:tc>
        <w:tc>
          <w:tcPr>
            <w:tcW w:w="3619" w:type="pct"/>
            <w:vMerge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  <w:t>Gümüş Madalya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+ 40</w:t>
            </w:r>
          </w:p>
        </w:tc>
      </w:tr>
      <w:tr w:rsidR="00C373AF" w:rsidRPr="00446251" w:rsidTr="007021EF">
        <w:trPr>
          <w:trHeight w:val="23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</w:p>
        </w:tc>
        <w:tc>
          <w:tcPr>
            <w:tcW w:w="3619" w:type="pct"/>
            <w:vMerge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  <w:t>Bronz Madalya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+ 30</w:t>
            </w:r>
          </w:p>
        </w:tc>
      </w:tr>
      <w:tr w:rsidR="00C373AF" w:rsidRPr="00446251" w:rsidTr="007021EF">
        <w:trPr>
          <w:trHeight w:val="23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</w:p>
        </w:tc>
        <w:tc>
          <w:tcPr>
            <w:tcW w:w="3619" w:type="pct"/>
            <w:vMerge w:val="restar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  <w:t>b) Ulusal Bilim Olimpiyatlarında Dereceye Girenler</w:t>
            </w: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  <w:t>Altın Madalya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+ 30</w:t>
            </w:r>
          </w:p>
        </w:tc>
      </w:tr>
      <w:tr w:rsidR="00C373AF" w:rsidRPr="00446251" w:rsidTr="007021EF">
        <w:trPr>
          <w:trHeight w:val="23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</w:p>
        </w:tc>
        <w:tc>
          <w:tcPr>
            <w:tcW w:w="3619" w:type="pct"/>
            <w:vMerge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  <w:t>Gümüş Madalya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+ 25</w:t>
            </w:r>
          </w:p>
        </w:tc>
      </w:tr>
      <w:tr w:rsidR="00C373AF" w:rsidRPr="00446251" w:rsidTr="007021EF">
        <w:trPr>
          <w:trHeight w:val="23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</w:p>
        </w:tc>
        <w:tc>
          <w:tcPr>
            <w:tcW w:w="3619" w:type="pct"/>
            <w:vMerge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  <w:t>Bronz Madalya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+ 20</w:t>
            </w:r>
          </w:p>
        </w:tc>
      </w:tr>
      <w:tr w:rsidR="00C373AF" w:rsidRPr="00446251" w:rsidTr="007021EF">
        <w:trPr>
          <w:trHeight w:val="23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</w:p>
        </w:tc>
        <w:tc>
          <w:tcPr>
            <w:tcW w:w="3619" w:type="pct"/>
            <w:vMerge w:val="restar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  <w:t>c) Ulusal Proje Yarışmalarında Dereceye Girenler</w:t>
            </w: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  <w:t>Birincilik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+ 20</w:t>
            </w:r>
          </w:p>
        </w:tc>
      </w:tr>
      <w:tr w:rsidR="00C373AF" w:rsidRPr="00446251" w:rsidTr="007021EF">
        <w:trPr>
          <w:trHeight w:val="23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</w:p>
        </w:tc>
        <w:tc>
          <w:tcPr>
            <w:tcW w:w="3619" w:type="pct"/>
            <w:vMerge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  <w:t>İkincilik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+ 15</w:t>
            </w:r>
          </w:p>
        </w:tc>
      </w:tr>
      <w:tr w:rsidR="00C373AF" w:rsidRPr="00446251" w:rsidTr="007021EF">
        <w:trPr>
          <w:trHeight w:val="23"/>
        </w:trPr>
        <w:tc>
          <w:tcPr>
            <w:tcW w:w="256" w:type="pct"/>
            <w:vMerge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</w:p>
        </w:tc>
        <w:tc>
          <w:tcPr>
            <w:tcW w:w="3619" w:type="pct"/>
            <w:vMerge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ind w:firstLine="567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</w:p>
        </w:tc>
        <w:tc>
          <w:tcPr>
            <w:tcW w:w="773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before="100" w:beforeAutospacing="1" w:after="100" w:afterAutospacing="1" w:line="240" w:lineRule="auto"/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24"/>
                <w:lang w:eastAsia="tr-TR"/>
              </w:rPr>
              <w:t>Üçüncülük</w:t>
            </w:r>
          </w:p>
        </w:tc>
        <w:tc>
          <w:tcPr>
            <w:tcW w:w="352" w:type="pct"/>
            <w:vAlign w:val="center"/>
          </w:tcPr>
          <w:p w:rsidR="00C373AF" w:rsidRPr="00446251" w:rsidRDefault="00C373AF" w:rsidP="007021EF">
            <w:pPr>
              <w:shd w:val="clear" w:color="auto" w:fill="FFFFFF"/>
              <w:tabs>
                <w:tab w:val="left" w:pos="566"/>
              </w:tabs>
              <w:spacing w:after="0" w:line="240" w:lineRule="auto"/>
              <w:jc w:val="center"/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</w:pPr>
            <w:r w:rsidRPr="00446251">
              <w:rPr>
                <w:rFonts w:ascii="Times New Roman" w:eastAsia="ヒラギノ明朝 Pro W3" w:hAnsi="Times New Roman"/>
                <w:sz w:val="18"/>
                <w:szCs w:val="18"/>
                <w:lang w:eastAsia="tr-TR"/>
              </w:rPr>
              <w:t>+ 10</w:t>
            </w:r>
          </w:p>
        </w:tc>
      </w:tr>
    </w:tbl>
    <w:p w:rsidR="00C373AF" w:rsidRPr="00446251" w:rsidRDefault="00C373AF" w:rsidP="00C373AF">
      <w:pPr>
        <w:shd w:val="clear" w:color="auto" w:fill="FFFFFF"/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ヒラギノ明朝 Pro W3" w:hAnsi="Times New Roman"/>
          <w:color w:val="0070C0"/>
          <w:sz w:val="18"/>
          <w:szCs w:val="18"/>
          <w:lang w:eastAsia="tr-TR"/>
        </w:rPr>
      </w:pPr>
    </w:p>
    <w:p w:rsidR="00C373AF" w:rsidRPr="00446251" w:rsidRDefault="00C373AF" w:rsidP="00C373AF">
      <w:pPr>
        <w:spacing w:after="0" w:line="240" w:lineRule="auto"/>
        <w:ind w:left="142"/>
        <w:rPr>
          <w:rFonts w:ascii="Times New Roman" w:eastAsia="ヒラギノ明朝 Pro W3" w:hAnsi="Times New Roman"/>
          <w:sz w:val="14"/>
          <w:szCs w:val="14"/>
          <w:lang w:eastAsia="tr-TR"/>
        </w:rPr>
      </w:pPr>
      <w:r w:rsidRPr="00446251">
        <w:rPr>
          <w:rFonts w:ascii="Times New Roman" w:eastAsia="ヒラギノ明朝 Pro W3" w:hAnsi="Times New Roman"/>
          <w:sz w:val="14"/>
          <w:szCs w:val="14"/>
          <w:lang w:eastAsia="tr-TR"/>
        </w:rPr>
        <w:t>1) Başarı puanı özel okullara ücretsiz olarak yerleştirme işlemlerinde kullanılacaktır. Okullar dışındaki kurumlarda değerlendirmeye alınmayacaktır.</w:t>
      </w:r>
    </w:p>
    <w:p w:rsidR="00C373AF" w:rsidRPr="00446251" w:rsidRDefault="00C373AF" w:rsidP="00C373AF">
      <w:pPr>
        <w:spacing w:after="0" w:line="240" w:lineRule="auto"/>
        <w:ind w:left="142"/>
        <w:rPr>
          <w:rFonts w:ascii="Times New Roman" w:eastAsia="ヒラギノ明朝 Pro W3" w:hAnsi="Times New Roman"/>
          <w:sz w:val="14"/>
          <w:szCs w:val="14"/>
          <w:lang w:eastAsia="tr-TR"/>
        </w:rPr>
      </w:pPr>
      <w:r w:rsidRPr="00446251">
        <w:rPr>
          <w:rFonts w:ascii="Times New Roman" w:eastAsia="ヒラギノ明朝 Pro W3" w:hAnsi="Times New Roman"/>
          <w:sz w:val="14"/>
          <w:szCs w:val="14"/>
          <w:lang w:eastAsia="tr-TR"/>
        </w:rPr>
        <w:t>2) 5. sınıfa başlayacak öğrenciler için başarı puanı değerlendirmeye alınmayacaktır.</w:t>
      </w:r>
    </w:p>
    <w:p w:rsidR="00C373AF" w:rsidRPr="00446251" w:rsidRDefault="00C373AF" w:rsidP="00C373AF">
      <w:pPr>
        <w:spacing w:after="0" w:line="240" w:lineRule="auto"/>
        <w:ind w:left="142"/>
        <w:rPr>
          <w:rFonts w:ascii="Times New Roman" w:eastAsia="ヒラギノ明朝 Pro W3" w:hAnsi="Times New Roman"/>
          <w:sz w:val="14"/>
          <w:szCs w:val="14"/>
          <w:lang w:eastAsia="tr-TR"/>
        </w:rPr>
      </w:pPr>
      <w:r w:rsidRPr="00446251">
        <w:rPr>
          <w:rFonts w:ascii="Times New Roman" w:eastAsia="ヒラギノ明朝 Pro W3" w:hAnsi="Times New Roman"/>
          <w:sz w:val="14"/>
          <w:szCs w:val="14"/>
          <w:lang w:eastAsia="tr-TR"/>
        </w:rPr>
        <w:t>3) Ailede örgün öğretimde öğrenim gören kardeşlerin her biri için karşılığındaki puan tekrarlanır. Aynı seviyede alınan madalyaların her biri için karşılığındaki puan tekrarlanır. Ailedeki engelli birey sayısına göre karşılığındaki puan tekrarlanır.</w:t>
      </w:r>
    </w:p>
    <w:p w:rsidR="00C373AF" w:rsidRPr="00446251" w:rsidRDefault="00C373AF" w:rsidP="00C373AF">
      <w:pPr>
        <w:spacing w:after="0" w:line="240" w:lineRule="auto"/>
        <w:ind w:left="142"/>
        <w:rPr>
          <w:rFonts w:ascii="Times New Roman" w:eastAsia="ヒラギノ明朝 Pro W3" w:hAnsi="Times New Roman"/>
          <w:sz w:val="14"/>
          <w:szCs w:val="14"/>
          <w:lang w:eastAsia="tr-TR"/>
        </w:rPr>
      </w:pPr>
      <w:r w:rsidRPr="00446251">
        <w:rPr>
          <w:rFonts w:ascii="Times New Roman" w:eastAsia="ヒラギノ明朝 Pro W3" w:hAnsi="Times New Roman"/>
          <w:sz w:val="14"/>
          <w:szCs w:val="14"/>
          <w:lang w:eastAsia="tr-TR"/>
        </w:rPr>
        <w:t>4) 18 yaşından büyük olup herhangi bir yerde çalışanlar, yukarıdaki tablonun “Ailenin Aylık Toplam Geliri” bölümü dikkate alınarak değerlendirilir.</w:t>
      </w:r>
    </w:p>
    <w:p w:rsidR="00C373AF" w:rsidRPr="00446251" w:rsidRDefault="00C373AF" w:rsidP="00C373AF">
      <w:pPr>
        <w:spacing w:after="0" w:line="240" w:lineRule="auto"/>
        <w:ind w:left="142"/>
        <w:rPr>
          <w:rFonts w:ascii="Times New Roman" w:eastAsia="ヒラギノ明朝 Pro W3" w:hAnsi="Times New Roman"/>
          <w:sz w:val="14"/>
          <w:szCs w:val="14"/>
          <w:lang w:eastAsia="tr-TR"/>
        </w:rPr>
      </w:pPr>
      <w:r w:rsidRPr="00446251">
        <w:rPr>
          <w:rFonts w:ascii="Times New Roman" w:eastAsia="ヒラギノ明朝 Pro W3" w:hAnsi="Times New Roman"/>
          <w:sz w:val="14"/>
          <w:szCs w:val="14"/>
          <w:lang w:eastAsia="tr-TR"/>
        </w:rPr>
        <w:t>5) Kanunun 13</w:t>
      </w:r>
      <w:r>
        <w:rPr>
          <w:rFonts w:ascii="Times New Roman" w:eastAsia="ヒラギノ明朝 Pro W3" w:hAnsi="Times New Roman"/>
          <w:sz w:val="14"/>
          <w:szCs w:val="14"/>
          <w:lang w:eastAsia="tr-TR"/>
        </w:rPr>
        <w:t xml:space="preserve"> </w:t>
      </w:r>
      <w:r w:rsidRPr="00446251">
        <w:rPr>
          <w:rFonts w:ascii="Times New Roman" w:eastAsia="ヒラギノ明朝 Pro W3" w:hAnsi="Times New Roman"/>
          <w:sz w:val="14"/>
          <w:szCs w:val="14"/>
          <w:lang w:eastAsia="tr-TR"/>
        </w:rPr>
        <w:t xml:space="preserve">üncü maddesi kapsamında öncelik verilenler için </w:t>
      </w:r>
      <w:r>
        <w:rPr>
          <w:rFonts w:ascii="Times New Roman" w:eastAsia="ヒラギノ明朝 Pro W3" w:hAnsi="Times New Roman"/>
          <w:sz w:val="14"/>
          <w:szCs w:val="14"/>
          <w:lang w:eastAsia="tr-TR"/>
        </w:rPr>
        <w:t>4 üncü</w:t>
      </w:r>
      <w:r w:rsidRPr="00446251">
        <w:rPr>
          <w:rFonts w:ascii="Times New Roman" w:eastAsia="ヒラギノ明朝 Pro W3" w:hAnsi="Times New Roman"/>
          <w:sz w:val="14"/>
          <w:szCs w:val="14"/>
          <w:lang w:eastAsia="tr-TR"/>
        </w:rPr>
        <w:t xml:space="preserve"> ve </w:t>
      </w:r>
      <w:r>
        <w:rPr>
          <w:rFonts w:ascii="Times New Roman" w:eastAsia="ヒラギノ明朝 Pro W3" w:hAnsi="Times New Roman"/>
          <w:sz w:val="14"/>
          <w:szCs w:val="14"/>
          <w:lang w:eastAsia="tr-TR"/>
        </w:rPr>
        <w:t>5/d</w:t>
      </w:r>
      <w:r w:rsidRPr="00446251">
        <w:rPr>
          <w:rFonts w:ascii="Times New Roman" w:eastAsia="ヒラギノ明朝 Pro W3" w:hAnsi="Times New Roman"/>
          <w:sz w:val="14"/>
          <w:szCs w:val="14"/>
          <w:lang w:eastAsia="tr-TR"/>
        </w:rPr>
        <w:t xml:space="preserve"> maddeleri değerlendirmeye alınmaz.</w:t>
      </w:r>
    </w:p>
    <w:p w:rsidR="00C373AF" w:rsidRPr="00446251" w:rsidRDefault="00C373AF" w:rsidP="00C373AF">
      <w:pPr>
        <w:spacing w:after="0" w:line="240" w:lineRule="auto"/>
        <w:ind w:left="142"/>
        <w:rPr>
          <w:rFonts w:ascii="Times New Roman" w:eastAsia="ヒラギノ明朝 Pro W3" w:hAnsi="Times New Roman"/>
          <w:sz w:val="14"/>
          <w:szCs w:val="14"/>
          <w:lang w:eastAsia="tr-TR"/>
        </w:rPr>
      </w:pPr>
      <w:r w:rsidRPr="00446251">
        <w:rPr>
          <w:rFonts w:ascii="Times New Roman" w:eastAsia="ヒラギノ明朝 Pro W3" w:hAnsi="Times New Roman"/>
          <w:sz w:val="14"/>
          <w:szCs w:val="14"/>
          <w:lang w:eastAsia="tr-TR"/>
        </w:rPr>
        <w:t xml:space="preserve">6) Aynı adreste yaşayan aile üyelerinin üzerine kayıtlı konut olması durumunda </w:t>
      </w:r>
      <w:r>
        <w:rPr>
          <w:rFonts w:ascii="Times New Roman" w:eastAsia="ヒラギノ明朝 Pro W3" w:hAnsi="Times New Roman"/>
          <w:sz w:val="14"/>
          <w:szCs w:val="14"/>
          <w:lang w:eastAsia="tr-TR"/>
        </w:rPr>
        <w:t>5/d</w:t>
      </w:r>
      <w:r w:rsidRPr="00446251">
        <w:rPr>
          <w:rFonts w:ascii="Times New Roman" w:eastAsia="ヒラギノ明朝 Pro W3" w:hAnsi="Times New Roman"/>
          <w:sz w:val="14"/>
          <w:szCs w:val="14"/>
          <w:lang w:eastAsia="tr-TR"/>
        </w:rPr>
        <w:t xml:space="preserve"> maddesi değerlendirmeye alınmaz.</w:t>
      </w:r>
    </w:p>
    <w:p w:rsidR="00C373AF" w:rsidRDefault="00C373AF" w:rsidP="00C373AF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/>
          <w:sz w:val="18"/>
          <w:szCs w:val="18"/>
          <w:lang w:eastAsia="tr-TR"/>
        </w:rPr>
      </w:pPr>
      <w:r>
        <w:rPr>
          <w:rFonts w:ascii="Times New Roman" w:eastAsia="ヒラギノ明朝 Pro W3" w:hAnsi="Times New Roman"/>
          <w:sz w:val="14"/>
          <w:szCs w:val="14"/>
          <w:lang w:eastAsia="tr-TR"/>
        </w:rPr>
        <w:t xml:space="preserve">    </w:t>
      </w:r>
      <w:r w:rsidRPr="00446251">
        <w:rPr>
          <w:rFonts w:ascii="Times New Roman" w:eastAsia="ヒラギノ明朝 Pro W3" w:hAnsi="Times New Roman"/>
          <w:sz w:val="14"/>
          <w:szCs w:val="14"/>
          <w:lang w:eastAsia="tr-TR"/>
        </w:rPr>
        <w:t xml:space="preserve">7) </w:t>
      </w:r>
      <w:r w:rsidRPr="00446251">
        <w:rPr>
          <w:rFonts w:ascii="Times New Roman" w:eastAsia="ヒラギノ明朝 Pro W3" w:hAnsi="Times New Roman"/>
          <w:bCs/>
          <w:sz w:val="14"/>
          <w:szCs w:val="14"/>
          <w:lang w:eastAsia="tr-TR"/>
        </w:rPr>
        <w:t>Hesaplamalarda o yıl için belirlenen net asgari ücret esas alınır.</w:t>
      </w:r>
    </w:p>
    <w:p w:rsidR="00FF4F2C" w:rsidRDefault="00FF4F2C" w:rsidP="00C373AF">
      <w:bookmarkStart w:id="0" w:name="_GoBack"/>
      <w:bookmarkEnd w:id="0"/>
    </w:p>
    <w:sectPr w:rsidR="00FF4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BA"/>
    <w:rsid w:val="00C373AF"/>
    <w:rsid w:val="00F430BA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904D-81DE-41DC-AFD9-A7B54FD0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GULAY-OKTIK734</dc:creator>
  <cp:keywords/>
  <dc:description/>
  <cp:lastModifiedBy>GULAY-OKTIK734</cp:lastModifiedBy>
  <cp:revision>2</cp:revision>
  <dcterms:created xsi:type="dcterms:W3CDTF">2025-03-20T11:51:00Z</dcterms:created>
  <dcterms:modified xsi:type="dcterms:W3CDTF">2025-03-20T11:51:00Z</dcterms:modified>
</cp:coreProperties>
</file>